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приоритетных направлений деятельности прокуратуры города является надзор за исполнением законодательства </w:t>
      </w:r>
      <w:r>
        <w:rPr>
          <w:rFonts w:ascii="Times New Roman" w:hAnsi="Times New Roman"/>
          <w:sz w:val="28"/>
        </w:rPr>
        <w:t>об антитеррористической защищенности</w:t>
      </w:r>
      <w:r>
        <w:rPr>
          <w:rFonts w:ascii="Times New Roman" w:hAnsi="Times New Roman"/>
          <w:sz w:val="28"/>
        </w:rPr>
        <w:t xml:space="preserve">. </w:t>
      </w:r>
    </w:p>
    <w:p w14:paraId="02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Так, за истекший период 2025</w:t>
      </w:r>
      <w:r>
        <w:rPr>
          <w:rFonts w:ascii="Times New Roman" w:hAnsi="Times New Roman"/>
          <w:sz w:val="28"/>
        </w:rPr>
        <w:t xml:space="preserve"> года прокуратурой города проведено более 4</w:t>
      </w:r>
      <w:r>
        <w:rPr>
          <w:rFonts w:ascii="Times New Roman" w:hAnsi="Times New Roman"/>
          <w:sz w:val="28"/>
        </w:rPr>
        <w:t>0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 проверок соблюдения указанного законодательства в отношении организаций, осуществляющих деятельность в различных сферах. </w:t>
      </w:r>
    </w:p>
    <w:p w14:paraId="03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проведенных проверок прокуратурой города руководителям организаций внесены представления об устранении нарушений законодательства об антитеррористической защищенности, при рассмотрении которых более 40 виновных лиц привлечены к дисциплинарной ответственности, выявленные нарушения устранены. </w:t>
      </w:r>
    </w:p>
    <w:p w14:paraId="0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5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7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Balloon Text"/>
    <w:basedOn w:val="Style_1"/>
    <w:link w:val="Style_16_ch"/>
    <w:pPr>
      <w:spacing w:after="0" w:line="240" w:lineRule="auto"/>
      <w:ind/>
    </w:pPr>
    <w:rPr>
      <w:rFonts w:ascii="Segoe UI" w:hAnsi="Segoe UI"/>
      <w:sz w:val="18"/>
    </w:rPr>
  </w:style>
  <w:style w:styleId="Style_16_ch" w:type="character">
    <w:name w:val="Balloon Text"/>
    <w:basedOn w:val="Style_1_ch"/>
    <w:link w:val="Style_16"/>
    <w:rPr>
      <w:rFonts w:ascii="Segoe UI" w:hAnsi="Segoe UI"/>
      <w:sz w:val="1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2025-10-23T08:54:43Z</dcterms:modified>
</cp:coreProperties>
</file>